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B4445" w14:textId="38AD3780" w:rsidR="009D6176" w:rsidRDefault="009D6176" w:rsidP="009D617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Дадатак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14:paraId="52D790F9" w14:textId="77777777" w:rsidR="00067276" w:rsidRPr="00067276" w:rsidRDefault="00F7331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ГРАФІК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фінансавання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выплаты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дапамог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пенсіянерам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Міністэрства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абароны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6727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на 2025 год </w:t>
      </w:r>
    </w:p>
    <w:tbl>
      <w:tblPr>
        <w:tblW w:w="14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551"/>
        <w:gridCol w:w="551"/>
        <w:gridCol w:w="551"/>
        <w:gridCol w:w="551"/>
        <w:gridCol w:w="551"/>
        <w:gridCol w:w="551"/>
        <w:gridCol w:w="551"/>
        <w:gridCol w:w="552"/>
        <w:gridCol w:w="551"/>
        <w:gridCol w:w="551"/>
        <w:gridCol w:w="551"/>
        <w:gridCol w:w="551"/>
        <w:gridCol w:w="551"/>
        <w:gridCol w:w="551"/>
        <w:gridCol w:w="551"/>
        <w:gridCol w:w="552"/>
        <w:gridCol w:w="551"/>
        <w:gridCol w:w="551"/>
        <w:gridCol w:w="551"/>
        <w:gridCol w:w="551"/>
        <w:gridCol w:w="551"/>
        <w:gridCol w:w="553"/>
        <w:gridCol w:w="549"/>
        <w:gridCol w:w="552"/>
      </w:tblGrid>
      <w:tr w:rsidR="00067276" w:rsidRPr="00067276" w14:paraId="539D16BF" w14:textId="77777777" w:rsidTr="00C51327">
        <w:trPr>
          <w:trHeight w:val="403"/>
        </w:trPr>
        <w:tc>
          <w:tcPr>
            <w:tcW w:w="1341" w:type="dxa"/>
            <w:vMerge w:val="restart"/>
            <w:vAlign w:val="center"/>
          </w:tcPr>
          <w:p w14:paraId="1195A4EF" w14:textId="6DB85DD9" w:rsidR="00067276" w:rsidRPr="00067276" w:rsidRDefault="00067276" w:rsidP="0006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Найменне</w:t>
            </w:r>
            <w:proofErr w:type="spellEnd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абласцей</w:t>
            </w:r>
            <w:proofErr w:type="spellEnd"/>
          </w:p>
        </w:tc>
        <w:tc>
          <w:tcPr>
            <w:tcW w:w="13227" w:type="dxa"/>
            <w:gridSpan w:val="24"/>
            <w:shd w:val="clear" w:color="auto" w:fill="A6A6A6"/>
            <w:vAlign w:val="center"/>
          </w:tcPr>
          <w:p w14:paraId="34E51681" w14:textId="5869844B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Тэрміны</w:t>
            </w:r>
            <w:proofErr w:type="spellEnd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пералічэння</w:t>
            </w:r>
            <w:proofErr w:type="spellEnd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(месяц, </w:t>
            </w: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лік</w:t>
            </w:r>
            <w:proofErr w:type="spellEnd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67276" w:rsidRPr="00067276" w14:paraId="33643884" w14:textId="77777777" w:rsidTr="00C51327">
        <w:trPr>
          <w:trHeight w:val="410"/>
        </w:trPr>
        <w:tc>
          <w:tcPr>
            <w:tcW w:w="1341" w:type="dxa"/>
            <w:vMerge/>
          </w:tcPr>
          <w:p w14:paraId="4C7E8CF4" w14:textId="77777777" w:rsidR="00067276" w:rsidRPr="00067276" w:rsidRDefault="00067276" w:rsidP="0006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2DF2583D" w14:textId="789CD3B1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студзень</w:t>
            </w:r>
            <w:proofErr w:type="spellEnd"/>
          </w:p>
        </w:tc>
        <w:tc>
          <w:tcPr>
            <w:tcW w:w="1102" w:type="dxa"/>
            <w:gridSpan w:val="2"/>
            <w:vAlign w:val="center"/>
          </w:tcPr>
          <w:p w14:paraId="452FEFB5" w14:textId="65BE67A5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люты</w:t>
            </w:r>
          </w:p>
        </w:tc>
        <w:tc>
          <w:tcPr>
            <w:tcW w:w="1102" w:type="dxa"/>
            <w:gridSpan w:val="2"/>
            <w:vAlign w:val="center"/>
          </w:tcPr>
          <w:p w14:paraId="5B0BBA89" w14:textId="626FABD4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сакавік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14:paraId="6BFFF40E" w14:textId="75DC5639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красавік</w:t>
            </w:r>
            <w:proofErr w:type="spellEnd"/>
          </w:p>
        </w:tc>
        <w:tc>
          <w:tcPr>
            <w:tcW w:w="1102" w:type="dxa"/>
            <w:gridSpan w:val="2"/>
            <w:vAlign w:val="center"/>
          </w:tcPr>
          <w:p w14:paraId="5542B891" w14:textId="77777777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102" w:type="dxa"/>
            <w:gridSpan w:val="2"/>
            <w:vAlign w:val="center"/>
          </w:tcPr>
          <w:p w14:paraId="7BAF79B3" w14:textId="7963351B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чэрвень</w:t>
            </w:r>
            <w:proofErr w:type="spellEnd"/>
          </w:p>
        </w:tc>
        <w:tc>
          <w:tcPr>
            <w:tcW w:w="1102" w:type="dxa"/>
            <w:gridSpan w:val="2"/>
            <w:vAlign w:val="center"/>
          </w:tcPr>
          <w:p w14:paraId="15DCBEDE" w14:textId="6E33F043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ліпень</w:t>
            </w:r>
            <w:proofErr w:type="spellEnd"/>
          </w:p>
        </w:tc>
        <w:tc>
          <w:tcPr>
            <w:tcW w:w="1103" w:type="dxa"/>
            <w:gridSpan w:val="2"/>
            <w:vAlign w:val="center"/>
          </w:tcPr>
          <w:p w14:paraId="5093016C" w14:textId="60924AF0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жнівень</w:t>
            </w:r>
            <w:proofErr w:type="spellEnd"/>
          </w:p>
        </w:tc>
        <w:tc>
          <w:tcPr>
            <w:tcW w:w="1102" w:type="dxa"/>
            <w:gridSpan w:val="2"/>
            <w:vAlign w:val="center"/>
          </w:tcPr>
          <w:p w14:paraId="32AA5D9C" w14:textId="560A8F16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верасень</w:t>
            </w:r>
            <w:proofErr w:type="spellEnd"/>
          </w:p>
        </w:tc>
        <w:tc>
          <w:tcPr>
            <w:tcW w:w="1102" w:type="dxa"/>
            <w:gridSpan w:val="2"/>
            <w:vAlign w:val="center"/>
          </w:tcPr>
          <w:p w14:paraId="4CD5E730" w14:textId="6548DD5D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кастрычнік</w:t>
            </w:r>
            <w:proofErr w:type="spellEnd"/>
          </w:p>
        </w:tc>
        <w:tc>
          <w:tcPr>
            <w:tcW w:w="1104" w:type="dxa"/>
            <w:gridSpan w:val="2"/>
            <w:vAlign w:val="center"/>
          </w:tcPr>
          <w:p w14:paraId="4512FB26" w14:textId="20AC90A7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лістапад</w:t>
            </w:r>
            <w:proofErr w:type="spellEnd"/>
          </w:p>
        </w:tc>
        <w:tc>
          <w:tcPr>
            <w:tcW w:w="1101" w:type="dxa"/>
            <w:gridSpan w:val="2"/>
            <w:vAlign w:val="center"/>
          </w:tcPr>
          <w:p w14:paraId="0439AB10" w14:textId="62DFC975" w:rsidR="00067276" w:rsidRPr="00067276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снежань</w:t>
            </w:r>
            <w:proofErr w:type="spellEnd"/>
          </w:p>
        </w:tc>
      </w:tr>
      <w:tr w:rsidR="00067276" w:rsidRPr="00067276" w14:paraId="5E632EE6" w14:textId="77777777" w:rsidTr="00C51327">
        <w:trPr>
          <w:cantSplit/>
          <w:trHeight w:val="1530"/>
        </w:trPr>
        <w:tc>
          <w:tcPr>
            <w:tcW w:w="1341" w:type="dxa"/>
            <w:vMerge/>
          </w:tcPr>
          <w:p w14:paraId="26D8E02B" w14:textId="77777777" w:rsidR="00067276" w:rsidRPr="00067276" w:rsidRDefault="00067276" w:rsidP="0006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1" w:type="dxa"/>
            <w:textDirection w:val="btLr"/>
          </w:tcPr>
          <w:p w14:paraId="691C9EA5" w14:textId="02FD75C8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09FF15A8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19EE8F39" w14:textId="14033171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6FF9323B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4608E7EF" w14:textId="7B7FC122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5EB6A83E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20614C5C" w14:textId="3B332CAB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2" w:type="dxa"/>
            <w:textDirection w:val="btLr"/>
          </w:tcPr>
          <w:p w14:paraId="4FBB263C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59B6AA35" w14:textId="42418D44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4FAC87FF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28EA2C30" w14:textId="6A37C0F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3AADEC27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3D496F48" w14:textId="3379943E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453EF233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1ADE6E97" w14:textId="528D9C99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2" w:type="dxa"/>
            <w:textDirection w:val="btLr"/>
          </w:tcPr>
          <w:p w14:paraId="62454516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1678399B" w14:textId="075B0F69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1D46B645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3CCB2911" w14:textId="5FC6B0F3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1" w:type="dxa"/>
            <w:textDirection w:val="btLr"/>
          </w:tcPr>
          <w:p w14:paraId="58F34D43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51" w:type="dxa"/>
            <w:textDirection w:val="btLr"/>
          </w:tcPr>
          <w:p w14:paraId="08E7E640" w14:textId="418BCBCD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3" w:type="dxa"/>
            <w:textDirection w:val="btLr"/>
          </w:tcPr>
          <w:p w14:paraId="4378CFBC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  <w:tc>
          <w:tcPr>
            <w:tcW w:w="549" w:type="dxa"/>
            <w:textDirection w:val="btLr"/>
          </w:tcPr>
          <w:p w14:paraId="0CC638C4" w14:textId="1145E6BB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фінансаванне</w:t>
            </w:r>
            <w:proofErr w:type="spellEnd"/>
          </w:p>
        </w:tc>
        <w:tc>
          <w:tcPr>
            <w:tcW w:w="552" w:type="dxa"/>
            <w:textDirection w:val="btLr"/>
          </w:tcPr>
          <w:p w14:paraId="2B7C6609" w14:textId="77777777" w:rsidR="00067276" w:rsidRPr="00067276" w:rsidRDefault="00067276" w:rsidP="000672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72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</w:t>
            </w:r>
          </w:p>
        </w:tc>
      </w:tr>
      <w:tr w:rsidR="00067276" w:rsidRPr="00067276" w14:paraId="32C7B153" w14:textId="77777777" w:rsidTr="00C51327">
        <w:trPr>
          <w:trHeight w:val="1169"/>
        </w:trPr>
        <w:tc>
          <w:tcPr>
            <w:tcW w:w="1341" w:type="dxa"/>
            <w:vAlign w:val="center"/>
          </w:tcPr>
          <w:p w14:paraId="1E0B2046" w14:textId="10B743F3" w:rsidR="00067276" w:rsidRPr="00067276" w:rsidRDefault="00067276" w:rsidP="00067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Гродзенская </w:t>
            </w:r>
            <w:proofErr w:type="spellStart"/>
            <w:r w:rsidRPr="000672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вобласць</w:t>
            </w:r>
            <w:proofErr w:type="spellEnd"/>
          </w:p>
        </w:tc>
        <w:tc>
          <w:tcPr>
            <w:tcW w:w="551" w:type="dxa"/>
            <w:shd w:val="clear" w:color="auto" w:fill="C2D69B"/>
            <w:vAlign w:val="center"/>
          </w:tcPr>
          <w:p w14:paraId="2BE1D46E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119F3FE1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25624BE5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470649A9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5744BE72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034B0465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6FF43629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" w:type="dxa"/>
            <w:shd w:val="clear" w:color="auto" w:fill="B2A1C7"/>
            <w:vAlign w:val="center"/>
          </w:tcPr>
          <w:p w14:paraId="06CEA7D4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41092DD5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1830189A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082C85B8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2F12990B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7786137C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6DA669BD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243374DE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2" w:type="dxa"/>
            <w:shd w:val="clear" w:color="auto" w:fill="B2A1C7"/>
            <w:vAlign w:val="center"/>
          </w:tcPr>
          <w:p w14:paraId="65173034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45A126A3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52541CB2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7FDDBE90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1" w:type="dxa"/>
            <w:shd w:val="clear" w:color="auto" w:fill="B2A1C7"/>
            <w:vAlign w:val="center"/>
          </w:tcPr>
          <w:p w14:paraId="78E49BB6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1" w:type="dxa"/>
            <w:shd w:val="clear" w:color="auto" w:fill="C2D69B"/>
            <w:vAlign w:val="center"/>
          </w:tcPr>
          <w:p w14:paraId="753689A1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3" w:type="dxa"/>
            <w:shd w:val="clear" w:color="auto" w:fill="B2A1C7"/>
            <w:vAlign w:val="center"/>
          </w:tcPr>
          <w:p w14:paraId="484AD0B6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9" w:type="dxa"/>
            <w:shd w:val="clear" w:color="auto" w:fill="C2D69B"/>
            <w:vAlign w:val="center"/>
          </w:tcPr>
          <w:p w14:paraId="7935AD41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" w:type="dxa"/>
            <w:shd w:val="clear" w:color="auto" w:fill="B2A1C7"/>
            <w:vAlign w:val="center"/>
          </w:tcPr>
          <w:p w14:paraId="1B44A056" w14:textId="77777777" w:rsidR="00067276" w:rsidRPr="00CC2B5C" w:rsidRDefault="00067276" w:rsidP="0006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2B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14:paraId="11CF683F" w14:textId="77777777" w:rsidR="00067276" w:rsidRDefault="00067276">
      <w:pPr>
        <w:rPr>
          <w:rFonts w:ascii="Arial" w:hAnsi="Arial" w:cs="Arial"/>
          <w:color w:val="000000"/>
          <w:sz w:val="32"/>
          <w:szCs w:val="32"/>
        </w:rPr>
      </w:pPr>
    </w:p>
    <w:p w14:paraId="281D7CCA" w14:textId="48D519F8" w:rsidR="00067276" w:rsidRPr="00067276" w:rsidRDefault="00F7331C" w:rsidP="0006727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Заўвага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: -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пераносу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Саветам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Міністраў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рабочых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дзён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нагоды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святаў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тэрміны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фінансавання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выплаты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ўзгадняюцца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працоўным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парадку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7FD9C07" w14:textId="77777777" w:rsidR="00067276" w:rsidRPr="00067276" w:rsidRDefault="00F7331C" w:rsidP="000672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-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дапамог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ажыццяўляецца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ААТ "ААБ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Беларусбанк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"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наступны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дзень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пасля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фінансавання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F4D36F" w14:textId="0E492ADA" w:rsidR="00F7331C" w:rsidRPr="00067276" w:rsidRDefault="00F7331C" w:rsidP="0006727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Аб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выплаце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нагоды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страты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карміцеля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асобам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навучаюцца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навучальных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установах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і не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дасягнулі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23-гадовага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ўзросту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4C10AEF" w14:textId="379D8C58" w:rsidR="00F7331C" w:rsidRPr="00067276" w:rsidRDefault="00F7331C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пунктам " а "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часткі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трэцяй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артыкула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30 Закона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ад 17.12.1992 года №2050-XII " Аб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забеспячэнні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органаў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унутраных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Следчага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камітэта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органаў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падраздзяленняў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надзвычайных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сітуацыях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органаў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фінансавых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расследаванняў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» права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нагоды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страты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карміцеля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атрымліваюць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межамі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дамовамі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вышэйшую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адукацыю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дзённай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форме.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Згодна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пунктам 3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артыкула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198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Кодэкса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прынятага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13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студзеня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2011 г.,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адукацыя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падзяляецца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агульную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вышэйшую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адукацыю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паглыбленую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вышэйшую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адукацыю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магістратура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спецыяльную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вышэйшую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7AF6EA" w14:textId="77777777" w:rsidR="00F7331C" w:rsidRPr="00F7331C" w:rsidRDefault="00F7331C" w:rsidP="00CC2B5C">
      <w:pPr>
        <w:shd w:val="clear" w:color="auto" w:fill="FBFBFB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Асобы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навучаюцца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тым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і ў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магістратуры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дзённай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форме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атрымання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і не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дасягнулі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ўзросту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23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гадоў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маюць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атрыманне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нагоды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страты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карміцеля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Таксама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варта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адзначыць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асобам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атрымліваюць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пенсію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нагоды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страты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карміцеля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навучэнцам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навучальных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установах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2 разы на год не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раней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за 1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сакавіка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і 1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верасня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бягучага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адпаведна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неабходна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прадстаўляць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аддзел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працы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пенсіянерамі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ЦБП № 514 ААТ "СБ» Беларусбанк" (220040, г.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Мінск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Сурганава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66)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даведку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навучанні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указаннем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ёй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наступнай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інфармацыі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D2545E" w14:textId="77777777" w:rsidR="00067276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- форма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27B0422" w14:textId="77777777" w:rsidR="00067276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- курс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CA7652F" w14:textId="77777777" w:rsidR="00067276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знаходжанні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навучэнца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дзяржаўным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забеспячэнні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4C8491E" w14:textId="77777777" w:rsidR="00067276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прадастаўленні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акадэмічнага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водпуску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0CD0A8" w14:textId="77777777" w:rsidR="00067276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тэрміне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заканчэння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2909C92" w14:textId="77777777" w:rsidR="00067276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Грамадзянам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несвоечасова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прадставілі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даведкі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пенсія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будзе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часова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прыпыненая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прадстаўлення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адпаведных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дакументаў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2A5C487" w14:textId="33AD833D" w:rsidR="00F7331C" w:rsidRPr="00F7331C" w:rsidRDefault="00F7331C" w:rsidP="00CC2B5C">
      <w:pPr>
        <w:shd w:val="clear" w:color="auto" w:fill="FBFBFB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Важна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памятаць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што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часткай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другой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артыкула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55 Закона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пенсіянер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абавязаны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неадкладна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паведаміць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у рай (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Гар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ваенкамат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аддзел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фінансавага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сацыяльнага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забеспячэння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ваеннага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камісарыята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Гродзенскай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вобласці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абставінах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цягнуць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сабой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змяненне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памеру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выплаты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дадзеным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31C">
        <w:rPr>
          <w:rFonts w:ascii="Times New Roman" w:hAnsi="Times New Roman" w:cs="Times New Roman"/>
          <w:color w:val="000000"/>
          <w:sz w:val="28"/>
          <w:szCs w:val="28"/>
        </w:rPr>
        <w:t>гэта</w:t>
      </w:r>
      <w:proofErr w:type="spellEnd"/>
      <w:r w:rsidRPr="00F7331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383C915" w14:textId="77777777" w:rsidR="00067276" w:rsidRDefault="00F7331C" w:rsidP="00CC2B5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спыненне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вучобы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адлічэнне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установы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адукацыі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0FA4B8E" w14:textId="77777777" w:rsidR="00067276" w:rsidRDefault="00F7331C" w:rsidP="00CC2B5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пераход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дзённай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завочную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форму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навучання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AF69FA3" w14:textId="77777777" w:rsidR="00067276" w:rsidRDefault="00F7331C" w:rsidP="00CC2B5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знаходжанне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акадэмічным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адпачынку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E9A1A4" w14:textId="77777777" w:rsidR="00067276" w:rsidRDefault="00F7331C" w:rsidP="00CC2B5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залічэнне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дзяржаўнае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забеспячэнне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1DCCC8" w14:textId="12572315" w:rsidR="00F7331C" w:rsidRPr="00067276" w:rsidRDefault="00F7331C" w:rsidP="00CC2B5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паступленне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службу, службу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Следчы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камітэт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органы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ўнутраных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органы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падраздзяленні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надзвычайных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сітуацыях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органы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фінансавых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расследаванняў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іншых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дзяржаў-удзельніц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Садружнасці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Незалежных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40B655" w14:textId="3608E584" w:rsidR="00F7331C" w:rsidRPr="00067276" w:rsidRDefault="00F7331C" w:rsidP="00CC2B5C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Выплата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пры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афармленні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выезду для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афармленні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) за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межамі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Беларусь у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дзяржавы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былыя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ўдзельнікамі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міжнародных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дагавораў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(Азербайджанская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Арменія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Кыргызская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Казахстан,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Малдова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Таджыкістан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Туркменістан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Узбекістан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Расійская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Федэрацыя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Украіна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0E59C7A2" w14:textId="19B8F1BB" w:rsidR="00F7331C" w:rsidRPr="00067276" w:rsidRDefault="00F7331C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пастановай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Савета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Міністраў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ад 27.12.2024 N 1025 "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парадку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выплаты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" з 1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студзеня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2025 года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СССР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членаў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ўдзельнікамі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выплачваецца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тэрыторыі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пенсійнымі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органамі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прызначылі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C480A1" w14:textId="10A2FE86" w:rsidR="00F7331C" w:rsidRPr="00067276" w:rsidRDefault="00F7331C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орган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спыняе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выплату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1-га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чысла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месяца,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наступнага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месяцам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падачы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паведамлення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атрымання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інфармацыі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афармленні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выезду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дзяржаву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былое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удзельнікам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аднаўляецца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пасля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пастаноўкі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консульскі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ўлік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падставе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заявы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выплаце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сувязі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афармленнем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выезду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дзяржаву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былое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удзельнікам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ўстаноўленай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форме,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якое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падаецца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орган.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асабістым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звароце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выплатай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заяўнік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прад'яўляе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біяметрычны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Беларусь).</w:t>
      </w:r>
    </w:p>
    <w:p w14:paraId="580B0C22" w14:textId="03529ED8" w:rsidR="00F7331C" w:rsidRPr="00067276" w:rsidRDefault="00F7331C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дыстанцыйным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звароце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выплатай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заяўнікам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прыкладаюцца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копіі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старонак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пашпарта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біяметрычнага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пашпарта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Беларусь),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змяшчаюць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звесткі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прозвішча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уласнае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імя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бацьку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такое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маецца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), дату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нараджэння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таксама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адзнакі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рэгістрацыі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ануляванні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афармленні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выезду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межамі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пастаноўцы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консульскі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ўлік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аднаўляецца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дня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выплаты, але 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12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да дня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пастаноўкі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консульскі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ўлік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ажыццяўляецца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да 1-га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чысла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месяца,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наступнага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месяцам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зняцця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яго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консульскага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13A46B36" w14:textId="6DF1AC0E" w:rsidR="00F7331C" w:rsidRPr="00067276" w:rsidRDefault="00F7331C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ўдзельнікамі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штогод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да 1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сакавіка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бягучага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прадстаўляюць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камісарыят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дакументы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жывых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31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снежня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папярэдняга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альбо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жывых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дапамогай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асабістай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яўкі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камісарыят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непрадстаўлення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дакумента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пацвярджае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жывых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неажыццяўлення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асабістай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яўкі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камісарыят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выплачвае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яму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ўстаноўлены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тэрмін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аднаўляецца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дня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але 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больш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12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да дня,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прадстаўлены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дакумент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ажыццёўлена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асабістая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яўка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пацвярджаюць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факт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знаходжання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жывых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629536" w14:textId="6026F338" w:rsidR="00F7331C" w:rsidRPr="00067276" w:rsidRDefault="00F7331C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афармленні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выезду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афармленні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межамі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розным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катэгорыям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пенсіянераў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першага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чысла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месяца,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наступнага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месяцам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убыцця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новага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(месяц,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пенсіянер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зняты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рэгістрацыйнага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наступным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катэгорыям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пенсіянераў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межамі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</w:t>
      </w:r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67276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Беларусь:</w:t>
      </w:r>
    </w:p>
    <w:p w14:paraId="0B876302" w14:textId="77777777" w:rsidR="00F7331C" w:rsidRPr="00067276" w:rsidRDefault="00F7331C" w:rsidP="009D61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грамадзянам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СССР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членаў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аформілі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межамі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дзяржавы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заключаны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сацыяльным</w:t>
      </w:r>
      <w:bookmarkStart w:id="0" w:name="_GoBack"/>
      <w:bookmarkEnd w:id="0"/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забеспячэнні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8E9D1D1" w14:textId="77777777" w:rsidR="00F7331C" w:rsidRPr="00067276" w:rsidRDefault="00F7331C" w:rsidP="009D61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замежным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членаў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4D9571" w14:textId="79C076DB" w:rsidR="00F7331C" w:rsidRPr="00067276" w:rsidRDefault="00F7331C" w:rsidP="009D617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звольненым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службы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дзяржавах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якімі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заключаны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затым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спынены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сацыяльным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забеспячэнні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і членам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568AFF" w14:textId="77777777" w:rsidR="00067276" w:rsidRPr="00067276" w:rsidRDefault="00067276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Гэтым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пенсіянерам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перад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выездам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межы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ажыццяўляецца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выплата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шэсць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наперад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выпадку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змены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далейшым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памераў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сумы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выплачаныя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шэсць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наперад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пераглядаюцца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Сумы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шэсць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наперад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атрыманыя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перад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выездам,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пераводу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мяжу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падлягаюць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Сума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якая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падлягае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выплаце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шэсць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месяцаў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наперад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вызначаецца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дапамогай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множання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памеру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налічанай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у месяцы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убыцця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(месяца,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зняцця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рэгістрацыйнага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ўлі</w:t>
      </w:r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</w:t>
      </w:r>
      <w:proofErr w:type="gram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шэсць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(не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лічачы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месяца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убыцця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679CB18F" w14:textId="4B1F0D03" w:rsidR="00067276" w:rsidRPr="00067276" w:rsidRDefault="00067276" w:rsidP="0006727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Пенсійнае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забеспячэнне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складу і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членаў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прыбылі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Рэспубліку</w:t>
      </w:r>
      <w:proofErr w:type="spellEnd"/>
      <w:r w:rsidRPr="00067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Беларусь</w:t>
      </w:r>
    </w:p>
    <w:p w14:paraId="014304A9" w14:textId="6088255A" w:rsidR="00067276" w:rsidRPr="00067276" w:rsidRDefault="00067276" w:rsidP="00067276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Пасля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выхаду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міжнароднага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дагавора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сацыяльным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забеспячэнні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пенсійнае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забеспячэнне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адпаведнасці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Законам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прадастаўляецца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прыбылі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пастаяннага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пражывання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якія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атрымалі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біяметрычны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замежнага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біяметрычны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ідэнтыфікацыйную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карту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пашпарт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грамадзяніна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ліку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былога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СССР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членаў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Дадзеных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асобам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і членам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пенсіі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прызначаюцца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пры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ўмове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спынення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выплаты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аналагічных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відаў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пенсій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устаноўленых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ваеннаслужачых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асоб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начальніцкага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радавога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складу і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членаў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іх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сем'яў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па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ранейшым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месцы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жыхарства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3705CF" w14:textId="77777777" w:rsidR="009D6176" w:rsidRDefault="00067276" w:rsidP="00CC2B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Кантактныя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нумары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тэлефонаў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службовых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асоб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адказных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пенсійнае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забеспячэнне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ваеннаслужачых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ваенным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камісарыяце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Шчучынскага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раёна</w:t>
      </w:r>
      <w:proofErr w:type="spellEnd"/>
      <w:r w:rsidRPr="009D6176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8A597F" w14:textId="21E6CE03" w:rsidR="00F7331C" w:rsidRPr="00F7331C" w:rsidRDefault="00067276" w:rsidP="00CC2B5C">
      <w:pPr>
        <w:jc w:val="both"/>
        <w:rPr>
          <w:rFonts w:ascii="Arial" w:hAnsi="Arial" w:cs="Arial"/>
          <w:color w:val="FF0000"/>
          <w:sz w:val="32"/>
          <w:szCs w:val="32"/>
        </w:rPr>
      </w:pP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Вядучы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спецыялі</w:t>
      </w:r>
      <w:proofErr w:type="gram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Сугай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Наталля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Іванаўна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67276">
        <w:rPr>
          <w:rFonts w:ascii="Times New Roman" w:hAnsi="Times New Roman" w:cs="Times New Roman"/>
          <w:color w:val="000000"/>
          <w:sz w:val="28"/>
          <w:szCs w:val="28"/>
        </w:rPr>
        <w:t>тэл</w:t>
      </w:r>
      <w:proofErr w:type="spellEnd"/>
      <w:r w:rsidRPr="00067276">
        <w:rPr>
          <w:rFonts w:ascii="Times New Roman" w:hAnsi="Times New Roman" w:cs="Times New Roman"/>
          <w:color w:val="000000"/>
          <w:sz w:val="28"/>
          <w:szCs w:val="28"/>
        </w:rPr>
        <w:t>.: +375151420987</w:t>
      </w:r>
      <w:r w:rsidR="00CC2B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F7331C" w:rsidRPr="00F7331C" w:rsidSect="00CC2B5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75B9"/>
    <w:multiLevelType w:val="multilevel"/>
    <w:tmpl w:val="0828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4B"/>
    <w:rsid w:val="00067276"/>
    <w:rsid w:val="003030C0"/>
    <w:rsid w:val="007B3B4B"/>
    <w:rsid w:val="009D6176"/>
    <w:rsid w:val="00CC2B5C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3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p-item">
    <w:name w:val="serp-item"/>
    <w:basedOn w:val="a"/>
    <w:rsid w:val="00F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3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3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rp-item">
    <w:name w:val="serp-item"/>
    <w:basedOn w:val="a"/>
    <w:rsid w:val="00F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733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370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82093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8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Сугай</dc:creator>
  <cp:keywords/>
  <dc:description/>
  <cp:lastModifiedBy>User</cp:lastModifiedBy>
  <cp:revision>6</cp:revision>
  <cp:lastPrinted>2025-03-10T13:32:00Z</cp:lastPrinted>
  <dcterms:created xsi:type="dcterms:W3CDTF">2025-03-10T12:21:00Z</dcterms:created>
  <dcterms:modified xsi:type="dcterms:W3CDTF">2025-03-10T13:32:00Z</dcterms:modified>
</cp:coreProperties>
</file>