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AF" w:rsidRDefault="005126AF" w:rsidP="005126AF">
      <w:bookmarkStart w:id="0" w:name="_GoBack"/>
    </w:p>
    <w:p w:rsidR="005126AF" w:rsidRDefault="005126AF" w:rsidP="005126AF">
      <w:pPr>
        <w:rPr>
          <w:b/>
          <w:sz w:val="30"/>
          <w:szCs w:val="30"/>
        </w:rPr>
      </w:pPr>
      <w:r>
        <w:rPr>
          <w:b/>
          <w:sz w:val="30"/>
          <w:szCs w:val="30"/>
        </w:rPr>
        <w:t>ГРАФІК</w:t>
      </w:r>
    </w:p>
    <w:p w:rsidR="005126AF" w:rsidRDefault="005126AF" w:rsidP="005126AF">
      <w:pPr>
        <w:rPr>
          <w:b/>
          <w:sz w:val="30"/>
          <w:szCs w:val="30"/>
        </w:rPr>
      </w:pPr>
      <w:r>
        <w:rPr>
          <w:b/>
          <w:sz w:val="30"/>
          <w:szCs w:val="30"/>
        </w:rPr>
        <w:t>фінансавання і выплаты пенсій і дапамог пенсіянерам Міністэрства абароны Рэспублікі Беларусь</w:t>
      </w:r>
    </w:p>
    <w:p w:rsidR="005126AF" w:rsidRDefault="005126AF" w:rsidP="005126AF">
      <w:pPr>
        <w:rPr>
          <w:b/>
          <w:sz w:val="30"/>
          <w:szCs w:val="30"/>
        </w:rPr>
      </w:pPr>
      <w:r>
        <w:rPr>
          <w:b/>
          <w:sz w:val="30"/>
          <w:szCs w:val="30"/>
        </w:rPr>
        <w:t>па Гродзенскай вобласці на 2020 год</w:t>
      </w:r>
    </w:p>
    <w:bookmarkEnd w:id="0"/>
    <w:p w:rsidR="005126AF" w:rsidRDefault="005126AF" w:rsidP="005126AF">
      <w:pPr>
        <w:rPr>
          <w:b/>
          <w:sz w:val="30"/>
          <w:szCs w:val="30"/>
        </w:rPr>
      </w:pPr>
    </w:p>
    <w:tbl>
      <w:tblPr>
        <w:tblW w:w="15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6"/>
        <w:gridCol w:w="551"/>
        <w:gridCol w:w="551"/>
        <w:gridCol w:w="551"/>
        <w:gridCol w:w="551"/>
        <w:gridCol w:w="551"/>
        <w:gridCol w:w="551"/>
        <w:gridCol w:w="551"/>
        <w:gridCol w:w="552"/>
        <w:gridCol w:w="551"/>
        <w:gridCol w:w="551"/>
        <w:gridCol w:w="551"/>
        <w:gridCol w:w="551"/>
        <w:gridCol w:w="551"/>
        <w:gridCol w:w="551"/>
        <w:gridCol w:w="551"/>
        <w:gridCol w:w="425"/>
        <w:gridCol w:w="523"/>
        <w:gridCol w:w="611"/>
        <w:gridCol w:w="665"/>
        <w:gridCol w:w="611"/>
        <w:gridCol w:w="472"/>
        <w:gridCol w:w="551"/>
        <w:gridCol w:w="551"/>
        <w:gridCol w:w="552"/>
      </w:tblGrid>
      <w:tr w:rsidR="005126AF" w:rsidTr="005126AF">
        <w:trPr>
          <w:trHeight w:val="44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126AF" w:rsidRDefault="005126AF">
            <w:pPr>
              <w:rPr>
                <w:sz w:val="18"/>
                <w:szCs w:val="18"/>
              </w:rPr>
            </w:pPr>
            <w:r>
              <w:rPr>
                <w:sz w:val="18"/>
                <w:szCs w:val="18"/>
              </w:rPr>
              <w:t>№№ п/п</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126AF" w:rsidRDefault="005126AF">
            <w:r>
              <w:t>Найменне абласцей</w:t>
            </w:r>
          </w:p>
        </w:tc>
        <w:tc>
          <w:tcPr>
            <w:tcW w:w="13227" w:type="dxa"/>
            <w:gridSpan w:val="24"/>
            <w:tcBorders>
              <w:top w:val="single" w:sz="4" w:space="0" w:color="auto"/>
              <w:left w:val="single" w:sz="4" w:space="0" w:color="auto"/>
              <w:bottom w:val="single" w:sz="4" w:space="0" w:color="auto"/>
              <w:right w:val="single" w:sz="4" w:space="0" w:color="auto"/>
            </w:tcBorders>
            <w:shd w:val="clear" w:color="auto" w:fill="A6A6A6"/>
            <w:vAlign w:val="center"/>
          </w:tcPr>
          <w:p w:rsidR="005126AF" w:rsidRDefault="005126AF">
            <w:pPr>
              <w:jc w:val="center"/>
              <w:rPr>
                <w:sz w:val="30"/>
                <w:szCs w:val="30"/>
              </w:rPr>
            </w:pPr>
            <w:r>
              <w:rPr>
                <w:sz w:val="30"/>
                <w:szCs w:val="30"/>
              </w:rPr>
              <w:t>Даты (месяц, лік)</w:t>
            </w:r>
          </w:p>
          <w:p w:rsidR="005126AF" w:rsidRDefault="005126AF">
            <w:pPr>
              <w:jc w:val="center"/>
            </w:pPr>
          </w:p>
        </w:tc>
      </w:tr>
      <w:tr w:rsidR="005126AF" w:rsidTr="005126AF">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22"/>
                <w:szCs w:val="22"/>
              </w:rPr>
            </w:pPr>
            <w:r>
              <w:rPr>
                <w:sz w:val="22"/>
                <w:szCs w:val="22"/>
              </w:rPr>
              <w:t>студзень</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люты</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сакавік</w:t>
            </w:r>
          </w:p>
        </w:tc>
        <w:tc>
          <w:tcPr>
            <w:tcW w:w="1103"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красавік</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травень</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чэрвень</w:t>
            </w:r>
          </w:p>
        </w:tc>
        <w:tc>
          <w:tcPr>
            <w:tcW w:w="1102"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ліпень</w:t>
            </w:r>
          </w:p>
        </w:tc>
        <w:tc>
          <w:tcPr>
            <w:tcW w:w="976"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жнівень</w:t>
            </w:r>
          </w:p>
        </w:tc>
        <w:tc>
          <w:tcPr>
            <w:tcW w:w="1134"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верасень</w:t>
            </w:r>
          </w:p>
        </w:tc>
        <w:tc>
          <w:tcPr>
            <w:tcW w:w="1276"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кастрычнік</w:t>
            </w:r>
          </w:p>
        </w:tc>
        <w:tc>
          <w:tcPr>
            <w:tcW w:w="1023" w:type="dxa"/>
            <w:gridSpan w:val="2"/>
            <w:tcBorders>
              <w:top w:val="single" w:sz="4" w:space="0" w:color="auto"/>
              <w:left w:val="single" w:sz="4" w:space="0" w:color="auto"/>
              <w:bottom w:val="single" w:sz="4" w:space="0" w:color="auto"/>
              <w:right w:val="single" w:sz="4" w:space="0" w:color="auto"/>
            </w:tcBorders>
            <w:hideMark/>
          </w:tcPr>
          <w:p w:rsidR="005126AF" w:rsidRDefault="005126AF">
            <w:pPr>
              <w:jc w:val="center"/>
              <w:rPr>
                <w:color w:val="000080"/>
                <w:sz w:val="18"/>
                <w:szCs w:val="18"/>
              </w:rPr>
            </w:pPr>
            <w:r>
              <w:rPr>
                <w:sz w:val="22"/>
                <w:szCs w:val="22"/>
              </w:rPr>
              <w:t>лістапад</w:t>
            </w:r>
          </w:p>
        </w:tc>
        <w:tc>
          <w:tcPr>
            <w:tcW w:w="1103" w:type="dxa"/>
            <w:gridSpan w:val="2"/>
            <w:tcBorders>
              <w:top w:val="single" w:sz="4" w:space="0" w:color="auto"/>
              <w:left w:val="single" w:sz="4" w:space="0" w:color="auto"/>
              <w:bottom w:val="single" w:sz="4" w:space="0" w:color="auto"/>
              <w:right w:val="single" w:sz="4" w:space="0" w:color="auto"/>
            </w:tcBorders>
          </w:tcPr>
          <w:p w:rsidR="005126AF" w:rsidRDefault="005126AF">
            <w:pPr>
              <w:jc w:val="center"/>
              <w:rPr>
                <w:sz w:val="22"/>
                <w:szCs w:val="22"/>
              </w:rPr>
            </w:pPr>
            <w:r>
              <w:rPr>
                <w:sz w:val="22"/>
                <w:szCs w:val="22"/>
              </w:rPr>
              <w:t>снежань</w:t>
            </w:r>
          </w:p>
          <w:p w:rsidR="005126AF" w:rsidRDefault="005126AF">
            <w:pPr>
              <w:jc w:val="center"/>
              <w:rPr>
                <w:color w:val="000080"/>
                <w:sz w:val="18"/>
                <w:szCs w:val="18"/>
              </w:rPr>
            </w:pPr>
          </w:p>
        </w:tc>
      </w:tr>
      <w:tr w:rsidR="005126AF" w:rsidTr="005126AF">
        <w:trPr>
          <w:cantSplit/>
          <w:trHeight w:val="15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26AF" w:rsidRDefault="005126AF"/>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фінансаванне</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23"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61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665"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61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472"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yellow"/>
              </w:rPr>
            </w:pPr>
            <w:r>
              <w:rPr>
                <w:sz w:val="22"/>
                <w:szCs w:val="22"/>
              </w:rPr>
              <w:t>фінансава</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5126AF" w:rsidRDefault="005126AF">
            <w:pPr>
              <w:ind w:left="113" w:right="113"/>
              <w:rPr>
                <w:sz w:val="22"/>
                <w:szCs w:val="22"/>
                <w:highlight w:val="red"/>
              </w:rPr>
            </w:pPr>
            <w:r>
              <w:rPr>
                <w:sz w:val="22"/>
                <w:szCs w:val="22"/>
                <w:highlight w:val="magenta"/>
              </w:rPr>
              <w:t>выплата</w:t>
            </w:r>
          </w:p>
        </w:tc>
      </w:tr>
      <w:tr w:rsidR="005126AF" w:rsidTr="005126AF">
        <w:trPr>
          <w:trHeight w:val="1169"/>
        </w:trPr>
        <w:tc>
          <w:tcPr>
            <w:tcW w:w="568" w:type="dxa"/>
            <w:tcBorders>
              <w:top w:val="single" w:sz="4" w:space="0" w:color="auto"/>
              <w:left w:val="single" w:sz="4" w:space="0" w:color="auto"/>
              <w:bottom w:val="single" w:sz="4" w:space="0" w:color="auto"/>
              <w:right w:val="single" w:sz="4" w:space="0" w:color="auto"/>
            </w:tcBorders>
            <w:vAlign w:val="center"/>
            <w:hideMark/>
          </w:tcPr>
          <w:p w:rsidR="005126AF" w:rsidRDefault="005126AF">
            <w:pPr>
              <w:jc w:val="center"/>
              <w:rPr>
                <w:sz w:val="20"/>
                <w:szCs w:val="20"/>
              </w:rPr>
            </w:pPr>
            <w:r>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26AF" w:rsidRDefault="005126AF">
            <w:pPr>
              <w:rPr>
                <w:b/>
                <w:color w:val="000080"/>
                <w:sz w:val="22"/>
                <w:szCs w:val="22"/>
              </w:rPr>
            </w:pPr>
            <w:r>
              <w:rPr>
                <w:sz w:val="22"/>
                <w:szCs w:val="22"/>
              </w:rPr>
              <w:t>Гродзенская вобласць</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3</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3</w:t>
            </w:r>
          </w:p>
        </w:tc>
        <w:tc>
          <w:tcPr>
            <w:tcW w:w="552"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6</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7</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3</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1</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2</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5</w:t>
            </w:r>
          </w:p>
        </w:tc>
        <w:tc>
          <w:tcPr>
            <w:tcW w:w="425"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6</w:t>
            </w:r>
          </w:p>
        </w:tc>
        <w:tc>
          <w:tcPr>
            <w:tcW w:w="52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3</w:t>
            </w:r>
          </w:p>
        </w:tc>
        <w:tc>
          <w:tcPr>
            <w:tcW w:w="61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4</w:t>
            </w:r>
          </w:p>
        </w:tc>
        <w:tc>
          <w:tcPr>
            <w:tcW w:w="66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5</w:t>
            </w:r>
          </w:p>
        </w:tc>
        <w:tc>
          <w:tcPr>
            <w:tcW w:w="61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6</w:t>
            </w:r>
          </w:p>
        </w:tc>
        <w:tc>
          <w:tcPr>
            <w:tcW w:w="47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4</w:t>
            </w:r>
          </w:p>
        </w:tc>
        <w:tc>
          <w:tcPr>
            <w:tcW w:w="551"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5</w:t>
            </w:r>
          </w:p>
        </w:tc>
        <w:tc>
          <w:tcPr>
            <w:tcW w:w="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5126AF" w:rsidRDefault="005126AF">
            <w:pPr>
              <w:jc w:val="center"/>
              <w:rPr>
                <w:sz w:val="28"/>
                <w:szCs w:val="28"/>
              </w:rPr>
            </w:pPr>
            <w:r>
              <w:rPr>
                <w:sz w:val="28"/>
                <w:szCs w:val="28"/>
              </w:rPr>
              <w:t>3</w:t>
            </w:r>
          </w:p>
        </w:tc>
        <w:tc>
          <w:tcPr>
            <w:tcW w:w="552"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5126AF" w:rsidRDefault="005126AF">
            <w:pPr>
              <w:jc w:val="center"/>
              <w:rPr>
                <w:sz w:val="28"/>
                <w:szCs w:val="28"/>
              </w:rPr>
            </w:pPr>
            <w:r>
              <w:rPr>
                <w:sz w:val="28"/>
                <w:szCs w:val="28"/>
              </w:rPr>
              <w:t>4</w:t>
            </w:r>
          </w:p>
        </w:tc>
      </w:tr>
    </w:tbl>
    <w:p w:rsidR="005126AF" w:rsidRDefault="005126AF" w:rsidP="005126AF">
      <w:pPr>
        <w:rPr>
          <w:sz w:val="30"/>
          <w:szCs w:val="30"/>
        </w:rPr>
      </w:pPr>
    </w:p>
    <w:p w:rsidR="005126AF" w:rsidRDefault="005126AF" w:rsidP="005126AF">
      <w:pPr>
        <w:jc w:val="both"/>
        <w:rPr>
          <w:sz w:val="30"/>
          <w:szCs w:val="30"/>
        </w:rPr>
      </w:pPr>
      <w:r>
        <w:rPr>
          <w:b/>
          <w:sz w:val="30"/>
          <w:szCs w:val="30"/>
        </w:rPr>
        <w:t>Заўвага:</w:t>
      </w:r>
      <w:r>
        <w:rPr>
          <w:sz w:val="30"/>
          <w:szCs w:val="30"/>
        </w:rPr>
        <w:t xml:space="preserve"> - у выпадку пераносу Саветам Міністраў Рэспублікі Беларусь рабочых дзён з нагоды свят, тэрміны</w:t>
      </w:r>
    </w:p>
    <w:p w:rsidR="005126AF" w:rsidRDefault="005126AF" w:rsidP="005126AF">
      <w:pPr>
        <w:jc w:val="both"/>
        <w:rPr>
          <w:sz w:val="30"/>
          <w:szCs w:val="30"/>
        </w:rPr>
      </w:pPr>
      <w:r>
        <w:rPr>
          <w:sz w:val="30"/>
          <w:szCs w:val="30"/>
        </w:rPr>
        <w:t xml:space="preserve">                 фінансавання могуць карэктавацца;</w:t>
      </w:r>
    </w:p>
    <w:p w:rsidR="005126AF" w:rsidRDefault="005126AF" w:rsidP="005126AF">
      <w:pPr>
        <w:ind w:firstLine="708"/>
        <w:jc w:val="both"/>
        <w:rPr>
          <w:sz w:val="30"/>
          <w:szCs w:val="30"/>
        </w:rPr>
      </w:pPr>
      <w:r>
        <w:rPr>
          <w:sz w:val="30"/>
          <w:szCs w:val="30"/>
        </w:rPr>
        <w:t xml:space="preserve">     - выплата пенсій праводзіцца ўстановамі ААТ «АСБ» Беларусбанк »на наступны дзень пасля  </w:t>
      </w:r>
    </w:p>
    <w:p w:rsidR="005126AF" w:rsidRDefault="005126AF" w:rsidP="005126AF">
      <w:pPr>
        <w:ind w:firstLine="708"/>
        <w:jc w:val="both"/>
        <w:rPr>
          <w:sz w:val="30"/>
          <w:szCs w:val="30"/>
        </w:rPr>
      </w:pPr>
      <w:r>
        <w:rPr>
          <w:sz w:val="30"/>
          <w:szCs w:val="30"/>
        </w:rPr>
        <w:t xml:space="preserve">        фінансавання.</w:t>
      </w:r>
    </w:p>
    <w:p w:rsidR="005126AF" w:rsidRDefault="005126AF" w:rsidP="005126AF">
      <w:pPr>
        <w:jc w:val="both"/>
        <w:rPr>
          <w:b/>
          <w:sz w:val="30"/>
          <w:szCs w:val="30"/>
        </w:rPr>
      </w:pPr>
      <w:r>
        <w:rPr>
          <w:b/>
          <w:sz w:val="30"/>
          <w:szCs w:val="30"/>
        </w:rPr>
        <w:t>2. Аб тэрмінах прызначэння пенсій асобам, якія чакаюць назначэння пенсiй за выслугу гадоў пасля дасягнення гранічнага ўзросту знаходжання на ваеннай службе.</w:t>
      </w:r>
    </w:p>
    <w:p w:rsidR="005126AF" w:rsidRDefault="005126AF" w:rsidP="005126AF">
      <w:pPr>
        <w:ind w:firstLine="708"/>
        <w:jc w:val="both"/>
        <w:rPr>
          <w:sz w:val="30"/>
          <w:szCs w:val="30"/>
        </w:rPr>
      </w:pPr>
      <w:r>
        <w:rPr>
          <w:sz w:val="30"/>
          <w:szCs w:val="30"/>
        </w:rPr>
        <w:t>З 13 красавіка 2016 года ўступіў у сілу Указ Прэзідэнта Рэспублікі Беларусь ад 11 красавiка 2016г.                 «Аб удасканаленні пенсійнага забеспячэння» (далей - Указ №137).</w:t>
      </w:r>
    </w:p>
    <w:p w:rsidR="005126AF" w:rsidRDefault="005126AF" w:rsidP="005126AF">
      <w:pPr>
        <w:ind w:firstLine="708"/>
        <w:jc w:val="both"/>
        <w:rPr>
          <w:sz w:val="30"/>
          <w:szCs w:val="30"/>
        </w:rPr>
      </w:pPr>
      <w:r>
        <w:rPr>
          <w:sz w:val="30"/>
          <w:szCs w:val="30"/>
        </w:rPr>
        <w:lastRenderedPageBreak/>
        <w:t>У адпаведнасці з часткай першай падпункта 1.3 пункта 1 Указа № 137 з 1 студзеня 2017 г. лімітавы ўзрост знаходжання на ваеннай службе ў воінскіх званнях да падпалкоўніка ўключна павышаецца штогод з               1 студзеня на 6 месяцаў, але не больш чым на 3 гады ў агульнай складанасці.</w:t>
      </w:r>
    </w:p>
    <w:p w:rsidR="005126AF" w:rsidRDefault="005126AF" w:rsidP="005126AF">
      <w:pPr>
        <w:ind w:firstLine="708"/>
        <w:jc w:val="both"/>
        <w:rPr>
          <w:sz w:val="30"/>
          <w:szCs w:val="30"/>
        </w:rPr>
      </w:pPr>
      <w:r>
        <w:rPr>
          <w:sz w:val="30"/>
          <w:szCs w:val="30"/>
        </w:rPr>
        <w:t xml:space="preserve">На падставе часткі другой пункта 4 Указа № 137, яго дзеянне не распаўсюджваецца на ўмовы назначэння пенсiй за выслугу гадоў асобам, звольненым з ваеннай службы, загад аб звальненні якіх выдадзены да ўступлення ў сілу </w:t>
      </w:r>
      <w:r>
        <w:rPr>
          <w:sz w:val="30"/>
          <w:szCs w:val="30"/>
          <w:lang w:val="be-BY"/>
        </w:rPr>
        <w:t>Ў</w:t>
      </w:r>
      <w:r>
        <w:rPr>
          <w:sz w:val="30"/>
          <w:szCs w:val="30"/>
        </w:rPr>
        <w:t>каза № 137 (г.зн. да 13 красавіка 2016 года ).</w:t>
      </w:r>
    </w:p>
    <w:p w:rsidR="005126AF" w:rsidRDefault="005126AF" w:rsidP="005126AF">
      <w:pPr>
        <w:ind w:firstLine="708"/>
        <w:jc w:val="both"/>
        <w:rPr>
          <w:sz w:val="30"/>
          <w:szCs w:val="30"/>
        </w:rPr>
      </w:pPr>
      <w:r>
        <w:rPr>
          <w:sz w:val="30"/>
          <w:szCs w:val="30"/>
        </w:rPr>
        <w:t>Такім чынам, ваеннаслужачыя ў вайсковым званні да падпалкоўніка ўключна, звольненыя з ваеннай службы да 13 красавіка 2016, і якія чакаюць назначэння пенсii за выслугу гадоў пасля дасягнення гранічнага ўзросту знаходжання на ваеннай службе, маюць права на прызначэнне пенсіі з дня дасягнення iмi 45-гадовага ўзросту.</w:t>
      </w:r>
    </w:p>
    <w:p w:rsidR="005126AF" w:rsidRDefault="005126AF" w:rsidP="005126AF">
      <w:pPr>
        <w:ind w:firstLine="708"/>
        <w:jc w:val="both"/>
        <w:rPr>
          <w:sz w:val="30"/>
          <w:szCs w:val="30"/>
        </w:rPr>
      </w:pPr>
      <w:r>
        <w:rPr>
          <w:sz w:val="30"/>
          <w:szCs w:val="30"/>
        </w:rPr>
        <w:t>Таксама маюць права на прызначэнне пенсіі за выслугу гадоў з дня дасягнення 45-гадовага ўзросту вайскоўцы, загад аб звальненні якіх з ваеннай службы падпісаны да 13 красавіка 2016, а іх выключэнне са спiсаў асабовага складу вайсковай часткі адбылося пазней названай даты.</w:t>
      </w:r>
    </w:p>
    <w:p w:rsidR="005126AF" w:rsidRDefault="005126AF" w:rsidP="005126AF">
      <w:pPr>
        <w:ind w:firstLine="708"/>
        <w:jc w:val="both"/>
        <w:rPr>
          <w:sz w:val="30"/>
          <w:szCs w:val="30"/>
        </w:rPr>
      </w:pPr>
      <w:r>
        <w:rPr>
          <w:sz w:val="30"/>
          <w:szCs w:val="30"/>
        </w:rPr>
        <w:t>Акрамя таго, згодна з часткай другой падпункта 1.3 пункта 1 Указа № 137 павышэнне гранiчнага ўзросту (з 45 да 48 гадоў) знаходжання на ваеннай службе не распаўсюджваецца на ваеннаслужачых, прызнаных ваенна-ўрачэбнай камісіяй па стане здароўя непрыдатнымі (не адказваюць спецыяльным патрабаванням) да ваеннай службы па займаемым пасадам, катэгорыі якіх зацвярджаюцца Саветам Міністраў Рэспублікі Беларусь па ўзгадненні з Прэзідэнтам Рэспублікі Беларусь. Адпаведны пералік катэгорый вайскоўцаў, якія маюць права на звальненне з ваеннай службы па дасягненні 45-гадовага ўзросту без уліку павышэння гранічнага ўзросту стаяння на ваеннай службе, у цяперашні час распрацоўваецца і будзе даведзены да зацікаўленых дзяржорганаў пасля яго зацвярджэння.</w:t>
      </w:r>
    </w:p>
    <w:p w:rsidR="005126AF" w:rsidRDefault="005126AF" w:rsidP="005126AF">
      <w:pPr>
        <w:ind w:firstLine="708"/>
        <w:jc w:val="both"/>
        <w:rPr>
          <w:sz w:val="30"/>
          <w:szCs w:val="30"/>
        </w:rPr>
      </w:pPr>
      <w:r>
        <w:rPr>
          <w:sz w:val="30"/>
          <w:szCs w:val="30"/>
        </w:rPr>
        <w:t>З улікам гэтага вайскоўцы, прызнаныя па стане здароўя не адказваюць спецыяльным патрабаванням (не маюць права на звальненне з ваеннай службы па хваробе), пасады якіх будуць уключаны ў ўказаны пералік, могуць быць звольнены з ваеннай службы па:</w:t>
      </w:r>
    </w:p>
    <w:p w:rsidR="005126AF" w:rsidRDefault="005126AF" w:rsidP="005126AF">
      <w:pPr>
        <w:jc w:val="both"/>
        <w:rPr>
          <w:sz w:val="30"/>
          <w:szCs w:val="30"/>
        </w:rPr>
      </w:pPr>
      <w:r>
        <w:rPr>
          <w:sz w:val="30"/>
          <w:szCs w:val="30"/>
        </w:rPr>
        <w:t>ўзросту, калі яны дасягнулі 45-гадовага ўзросту;</w:t>
      </w:r>
    </w:p>
    <w:p w:rsidR="005126AF" w:rsidRDefault="005126AF" w:rsidP="005126AF">
      <w:pPr>
        <w:jc w:val="both"/>
        <w:rPr>
          <w:sz w:val="30"/>
          <w:szCs w:val="30"/>
        </w:rPr>
      </w:pPr>
      <w:r>
        <w:rPr>
          <w:sz w:val="30"/>
          <w:szCs w:val="30"/>
        </w:rPr>
        <w:t>іншых падставах - у гэтым выпадку пенсіі ім прызначаюцца таксама з дня дасягнення 45-гадовага ўзросту.</w:t>
      </w:r>
    </w:p>
    <w:p w:rsidR="005126AF" w:rsidRDefault="005126AF" w:rsidP="005126AF">
      <w:pPr>
        <w:jc w:val="both"/>
        <w:rPr>
          <w:sz w:val="30"/>
          <w:szCs w:val="30"/>
        </w:rPr>
      </w:pPr>
      <w:r>
        <w:rPr>
          <w:sz w:val="30"/>
          <w:szCs w:val="30"/>
        </w:rPr>
        <w:t xml:space="preserve">У выпадку, калі вайсковец, прызнаны па стане здароўя не адказвае спецыяльным патрабаванням, займаў пасаду, не прадугледжаную ў паказаным пераліку, то пенсія яму прызначаецца пасьля 1 студзеня 2017 г. са </w:t>
      </w:r>
      <w:r>
        <w:rPr>
          <w:sz w:val="30"/>
          <w:szCs w:val="30"/>
          <w:lang w:val="be-BY"/>
        </w:rPr>
        <w:t>ў</w:t>
      </w:r>
      <w:r>
        <w:rPr>
          <w:sz w:val="30"/>
          <w:szCs w:val="30"/>
        </w:rPr>
        <w:t>лікам адпаведнага павышэння гранічнага ўзросту знаходжання на ваеннай службе.</w:t>
      </w:r>
    </w:p>
    <w:p w:rsidR="005126AF" w:rsidRDefault="005126AF" w:rsidP="005126AF">
      <w:pPr>
        <w:ind w:firstLine="708"/>
        <w:jc w:val="both"/>
        <w:rPr>
          <w:sz w:val="30"/>
          <w:szCs w:val="30"/>
        </w:rPr>
      </w:pPr>
      <w:r>
        <w:rPr>
          <w:sz w:val="30"/>
          <w:szCs w:val="30"/>
        </w:rPr>
        <w:t xml:space="preserve">Пенсіі за выслугу гадоў вайскоўцам у вайсковым званні да падпалкоўніка ўключна, звольненым з ваеннай службы пасьля 13 красавіка 2016, і ўсіх, хто чакаў прызначэння пенсіі за выслугу гадоў пасля дасягнення гранічнага ўзросту знаходжання на ваеннай службе, прызначаюцца з улікам наступных дат і </w:t>
      </w:r>
      <w:r>
        <w:rPr>
          <w:sz w:val="30"/>
          <w:szCs w:val="30"/>
          <w:lang w:val="be-BY"/>
        </w:rPr>
        <w:t>ў</w:t>
      </w:r>
      <w:r>
        <w:rPr>
          <w:sz w:val="30"/>
          <w:szCs w:val="30"/>
        </w:rPr>
        <w:t>зростаў:</w:t>
      </w:r>
    </w:p>
    <w:tbl>
      <w:tblPr>
        <w:tblW w:w="10006" w:type="dxa"/>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3718"/>
        <w:gridCol w:w="2240"/>
      </w:tblGrid>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нараджэння</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дасягнення гранічнага ўзросту</w:t>
            </w:r>
          </w:p>
        </w:tc>
        <w:tc>
          <w:tcPr>
            <w:tcW w:w="2240" w:type="dxa"/>
            <w:tcBorders>
              <w:top w:val="single" w:sz="4" w:space="0" w:color="auto"/>
              <w:left w:val="single" w:sz="4" w:space="0" w:color="auto"/>
              <w:bottom w:val="single" w:sz="4" w:space="0" w:color="auto"/>
              <w:right w:val="single" w:sz="4" w:space="0" w:color="auto"/>
            </w:tcBorders>
          </w:tcPr>
          <w:p w:rsidR="005126AF" w:rsidRDefault="005126AF">
            <w:pPr>
              <w:rPr>
                <w:b/>
              </w:rPr>
            </w:pPr>
            <w:r>
              <w:rPr>
                <w:b/>
              </w:rPr>
              <w:t>Гранічны ўзрост</w:t>
            </w:r>
          </w:p>
          <w:p w:rsidR="005126AF" w:rsidRDefault="005126AF">
            <w:pPr>
              <w:autoSpaceDE w:val="0"/>
              <w:autoSpaceDN w:val="0"/>
              <w:adjustRightInd w:val="0"/>
              <w:spacing w:line="220" w:lineRule="exact"/>
              <w:jc w:val="center"/>
              <w:rPr>
                <w:b/>
              </w:rPr>
            </w:pP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31 снежня 1971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2016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45</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1972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2017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r>
              <w:t>45 гадоў 6 мес.</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1972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2018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46</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1973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2019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r>
              <w:t>46 гадоў 6 мес.</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1973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2020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47</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1974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2021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r>
              <w:t>47 гадоў 6 мес.</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1974 г.</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2022 г</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48</w:t>
            </w:r>
          </w:p>
        </w:tc>
      </w:tr>
      <w:tr w:rsidR="005126AF" w:rsidTr="005126AF">
        <w:trPr>
          <w:jc w:val="center"/>
        </w:trPr>
        <w:tc>
          <w:tcPr>
            <w:tcW w:w="40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1975 г. i пазней</w:t>
            </w:r>
          </w:p>
        </w:tc>
        <w:tc>
          <w:tcPr>
            <w:tcW w:w="371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2023 г. i пазней за</w:t>
            </w:r>
          </w:p>
        </w:tc>
        <w:tc>
          <w:tcPr>
            <w:tcW w:w="2240"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48</w:t>
            </w:r>
          </w:p>
        </w:tc>
      </w:tr>
    </w:tbl>
    <w:p w:rsidR="005126AF" w:rsidRDefault="005126AF" w:rsidP="005126AF">
      <w:pPr>
        <w:rPr>
          <w:sz w:val="30"/>
          <w:szCs w:val="30"/>
        </w:rPr>
      </w:pPr>
    </w:p>
    <w:p w:rsidR="005126AF" w:rsidRDefault="005126AF" w:rsidP="005126AF">
      <w:pPr>
        <w:rPr>
          <w:sz w:val="30"/>
          <w:szCs w:val="30"/>
        </w:rPr>
      </w:pPr>
    </w:p>
    <w:p w:rsidR="005126AF" w:rsidRDefault="005126AF" w:rsidP="005126AF">
      <w:pPr>
        <w:rPr>
          <w:b/>
          <w:sz w:val="30"/>
          <w:szCs w:val="30"/>
        </w:rPr>
      </w:pPr>
      <w:r>
        <w:rPr>
          <w:b/>
          <w:sz w:val="30"/>
          <w:szCs w:val="30"/>
        </w:rPr>
        <w:t>3. Парадак пераразліку пенсій у сувязі з дасягненнем агульнаўстаноўленага пенсіённага ўзросту ў сувязі са змяненнем заканадаўства Рэспублікі Беларусь.</w:t>
      </w:r>
    </w:p>
    <w:p w:rsidR="005126AF" w:rsidRDefault="005126AF" w:rsidP="005126AF">
      <w:pPr>
        <w:ind w:firstLine="708"/>
        <w:jc w:val="both"/>
        <w:rPr>
          <w:sz w:val="30"/>
          <w:szCs w:val="30"/>
        </w:rPr>
      </w:pPr>
      <w:r>
        <w:rPr>
          <w:sz w:val="30"/>
          <w:szCs w:val="30"/>
        </w:rPr>
        <w:t>У сувязі з уступленнем у сілу з 1 верасня 2016г. Указа Прэзідэнта Рэспублікі Беларусь ад 11 жніўня 2016 г. № 308 "Аб пенсійным забеспячэнні асобных катэгорый вайскоўцаў» памеры пенсій ваеннаслужачых, звольненых з ваеннай службы ў сувязі з скарачэннем Узброеных Сіл Рэспублікі Беларусь у перыяд з 24 красавіка 1992 года па 31 снежня 1994 года, якія атрымліваюць пенсіі за выслугу 15- 19 гадоў падлягаюць павелічэнню за стаж працы пасля звальнення з ваеннай службы.</w:t>
      </w:r>
    </w:p>
    <w:p w:rsidR="005126AF" w:rsidRDefault="005126AF" w:rsidP="005126AF">
      <w:pPr>
        <w:ind w:firstLine="708"/>
        <w:jc w:val="both"/>
        <w:rPr>
          <w:sz w:val="30"/>
          <w:szCs w:val="30"/>
        </w:rPr>
      </w:pPr>
      <w:r>
        <w:rPr>
          <w:sz w:val="30"/>
          <w:szCs w:val="30"/>
        </w:rPr>
        <w:t>Ваенным пенсіянерам, якія дасягнулі агульнаўстаноўленага пенсіённага ўзросту (да 1 студзеня 2017 года мужчыны c 60 гадоў, жанчыны c 55 гадоў), памер пенсіі за выслугу 15-19 гадоў падлягае павелічэнню за кожны год стажу працы (з дня звальнення з ваеннай службы да дня дасягнення агульнаўстаноўленага пенсіённага ўзросту) на адзін працэнт адпаведных сум грашовага забеспячэння, якія ўлічваюцца для вылічэння ім пенсій. Пры гэтым памер пенсіі з улікам павелічэння не можа перавышаць 70 працэнтаў гэтых сум. У стаж працы, які ўлічвае для павелічэння памеру пенсiй за выслугу 15-19 гадоў у адпаведнасці з часткай першай артыкула 51 Закона Рэспублікі Беларусь ад 17 красавiка 1992 года "Аб пенсійным забеспячэнні" залічваюцца перыяды работы, прадпрымальніцкай, творчай i iншай дзейнасцi пры ўмове, што ў працягу гэтых перыядаў ажыццяўлялася выплата абавязковых страхавых узносаў у бюджэт дзяржаўнага пазабюджэтнага фонду сацыяльнай абароны насельніцтва Рэспублікі Беларусь.</w:t>
      </w:r>
    </w:p>
    <w:p w:rsidR="005126AF" w:rsidRDefault="005126AF" w:rsidP="005126AF">
      <w:pPr>
        <w:ind w:firstLine="708"/>
        <w:jc w:val="both"/>
        <w:rPr>
          <w:sz w:val="30"/>
          <w:szCs w:val="30"/>
        </w:rPr>
      </w:pPr>
      <w:r>
        <w:rPr>
          <w:sz w:val="30"/>
          <w:szCs w:val="30"/>
        </w:rPr>
        <w:t>У сувязі з гэтым ваенныя пенсіянеры, якія дасягнулі да 1 верасня 2016 года агульнаўстаноўленага пенсіённага ўзросту (мужчыны з 60 гадоў, жанчыны з 55 гадоў), маюць права на павелічэнне памеру вылічэння пенсіі з 1 верасня 2016 года. Якая-небудзь даплата за мiнулы час ваенным пенсіянерам, якія дасягнулі агульнаўстаноўленага пенсіённага ўзросту раней, ня ажыццяўляецца. Павелічэнне памераў вылічэння пенсій ваенным пенсіянерам, які сягаў агульнаўстаноўленага пенсіённага ўзросту пасля 1 верасня 2016 года будзе ажыццяўляцца па агульнаму правілу з першага чысла месяца, наступнага за тым месяцам, у якім яны дасягнулі агульнаўстаноўленага пенсіённага ўзросту, а менавіта:</w:t>
      </w:r>
    </w:p>
    <w:p w:rsidR="005126AF" w:rsidRDefault="005126AF" w:rsidP="005126AF">
      <w:pPr>
        <w:rPr>
          <w:sz w:val="30"/>
          <w:szCs w:val="30"/>
        </w:rPr>
      </w:pPr>
      <w:r>
        <w:rPr>
          <w:sz w:val="30"/>
          <w:szCs w:val="30"/>
        </w:rPr>
        <w:t>мужчыны:</w:t>
      </w:r>
    </w:p>
    <w:tbl>
      <w:tblPr>
        <w:tblW w:w="11353" w:type="dxa"/>
        <w:jc w:val="center"/>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3946"/>
        <w:gridCol w:w="2848"/>
      </w:tblGrid>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нараджэння</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дасягнення агульнаўстаноўленага пенсіённага ўзросту</w:t>
            </w:r>
          </w:p>
        </w:tc>
        <w:tc>
          <w:tcPr>
            <w:tcW w:w="2848" w:type="dxa"/>
            <w:tcBorders>
              <w:top w:val="single" w:sz="4" w:space="0" w:color="auto"/>
              <w:left w:val="single" w:sz="4" w:space="0" w:color="auto"/>
              <w:bottom w:val="single" w:sz="4" w:space="0" w:color="auto"/>
              <w:right w:val="single" w:sz="4" w:space="0" w:color="auto"/>
            </w:tcBorders>
          </w:tcPr>
          <w:p w:rsidR="005126AF" w:rsidRDefault="005126AF">
            <w:pPr>
              <w:jc w:val="center"/>
              <w:rPr>
                <w:b/>
              </w:rPr>
            </w:pPr>
            <w:r>
              <w:rPr>
                <w:b/>
              </w:rPr>
              <w:t>Пенсійны ўзрост</w:t>
            </w:r>
          </w:p>
          <w:p w:rsidR="005126AF" w:rsidRDefault="005126AF">
            <w:pPr>
              <w:autoSpaceDE w:val="0"/>
              <w:autoSpaceDN w:val="0"/>
              <w:adjustRightInd w:val="0"/>
              <w:spacing w:line="220" w:lineRule="exact"/>
              <w:jc w:val="center"/>
              <w:rPr>
                <w:b/>
              </w:rPr>
            </w:pP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па 31 снежня 1956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у 2016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60</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па 30 чэрвеня 1957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2017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r>
              <w:t>60 гадоў 6 мес.</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ліпеня па 31 снежня 1957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2018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61</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1958 г</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2019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r>
              <w:t>61 год 6 мес.</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ліпеня па 31 снежня 1958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2020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62</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па 30 чэрвеня 1959 г.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2021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r>
              <w:t>62 гады 6 мес.</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1959 г</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2022 г.</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63</w:t>
            </w:r>
          </w:p>
        </w:tc>
      </w:tr>
      <w:tr w:rsidR="005126AF" w:rsidTr="005126AF">
        <w:trPr>
          <w:jc w:val="center"/>
        </w:trPr>
        <w:tc>
          <w:tcPr>
            <w:tcW w:w="455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студзеня 1960 г. i пазней    </w:t>
            </w:r>
          </w:p>
        </w:tc>
        <w:tc>
          <w:tcPr>
            <w:tcW w:w="3946"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2023 г. i пазней</w:t>
            </w:r>
          </w:p>
        </w:tc>
        <w:tc>
          <w:tcPr>
            <w:tcW w:w="2848"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63</w:t>
            </w:r>
          </w:p>
        </w:tc>
      </w:tr>
    </w:tbl>
    <w:p w:rsidR="005126AF" w:rsidRDefault="005126AF" w:rsidP="005126AF">
      <w:pPr>
        <w:rPr>
          <w:sz w:val="30"/>
          <w:szCs w:val="30"/>
        </w:rPr>
      </w:pPr>
      <w:r>
        <w:rPr>
          <w:sz w:val="30"/>
          <w:szCs w:val="30"/>
        </w:rPr>
        <w:t> жанчыны:</w:t>
      </w:r>
    </w:p>
    <w:tbl>
      <w:tblPr>
        <w:tblW w:w="11323" w:type="dxa"/>
        <w:jc w:val="center"/>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3827"/>
        <w:gridCol w:w="2977"/>
      </w:tblGrid>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нараджэння</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spacing w:line="220" w:lineRule="exact"/>
              <w:jc w:val="center"/>
              <w:rPr>
                <w:b/>
              </w:rPr>
            </w:pPr>
            <w:r>
              <w:rPr>
                <w:b/>
              </w:rPr>
              <w:t>Дата дасягнення агульнаўстаноўленага пенсіённага ўзросту</w:t>
            </w:r>
          </w:p>
        </w:tc>
        <w:tc>
          <w:tcPr>
            <w:tcW w:w="2977" w:type="dxa"/>
            <w:tcBorders>
              <w:top w:val="single" w:sz="4" w:space="0" w:color="auto"/>
              <w:left w:val="single" w:sz="4" w:space="0" w:color="auto"/>
              <w:bottom w:val="single" w:sz="4" w:space="0" w:color="auto"/>
              <w:right w:val="single" w:sz="4" w:space="0" w:color="auto"/>
            </w:tcBorders>
          </w:tcPr>
          <w:p w:rsidR="005126AF" w:rsidRDefault="005126AF">
            <w:pPr>
              <w:jc w:val="center"/>
              <w:rPr>
                <w:b/>
              </w:rPr>
            </w:pPr>
            <w:r>
              <w:rPr>
                <w:b/>
              </w:rPr>
              <w:t>Пенсійны ўзрост</w:t>
            </w:r>
          </w:p>
          <w:p w:rsidR="005126AF" w:rsidRDefault="005126AF">
            <w:pPr>
              <w:autoSpaceDE w:val="0"/>
              <w:autoSpaceDN w:val="0"/>
              <w:adjustRightInd w:val="0"/>
              <w:spacing w:line="220" w:lineRule="exact"/>
              <w:jc w:val="center"/>
              <w:rPr>
                <w:b/>
              </w:rPr>
            </w:pP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31 снежня 1961 г.</w:t>
            </w:r>
            <w:r>
              <w:tab/>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2016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55</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1962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2017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55 гадоў 6 мес.</w:t>
            </w:r>
          </w:p>
        </w:tc>
      </w:tr>
      <w:tr w:rsidR="005126AF" w:rsidTr="005126AF">
        <w:trPr>
          <w:trHeight w:val="239"/>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1962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2018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56</w:t>
            </w:r>
          </w:p>
        </w:tc>
      </w:tr>
      <w:tr w:rsidR="005126AF" w:rsidTr="005126AF">
        <w:trPr>
          <w:trHeight w:val="261"/>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1963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2019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56 гадоў 6 мес.</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 xml:space="preserve">з 01 ліпеня па 31 снежня 1963 г. </w:t>
            </w:r>
            <w:r>
              <w:tab/>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2020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57</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па 30 чэрвеня 1964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з 01 ліпеня па 31 снежня 2021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jc w:val="center"/>
            </w:pPr>
            <w:r>
              <w:t>57 гадоў 6 мес.</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ліпеня па 31 снежня 1964 г.</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jc w:val="both"/>
            </w:pPr>
            <w:r>
              <w:t xml:space="preserve"> з 01 ліпеня па 31 снежня 2022 г.</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58</w:t>
            </w:r>
          </w:p>
        </w:tc>
      </w:tr>
      <w:tr w:rsidR="005126AF" w:rsidTr="005126AF">
        <w:trPr>
          <w:jc w:val="center"/>
        </w:trPr>
        <w:tc>
          <w:tcPr>
            <w:tcW w:w="4519"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з 01 студзеня 1965 г. і пазней</w:t>
            </w:r>
          </w:p>
        </w:tc>
        <w:tc>
          <w:tcPr>
            <w:tcW w:w="382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у 2023 г. i пазней</w:t>
            </w:r>
          </w:p>
        </w:tc>
        <w:tc>
          <w:tcPr>
            <w:tcW w:w="2977" w:type="dxa"/>
            <w:tcBorders>
              <w:top w:val="single" w:sz="4" w:space="0" w:color="auto"/>
              <w:left w:val="single" w:sz="4" w:space="0" w:color="auto"/>
              <w:bottom w:val="single" w:sz="4" w:space="0" w:color="auto"/>
              <w:right w:val="single" w:sz="4" w:space="0" w:color="auto"/>
            </w:tcBorders>
            <w:hideMark/>
          </w:tcPr>
          <w:p w:rsidR="005126AF" w:rsidRDefault="005126AF">
            <w:pPr>
              <w:autoSpaceDE w:val="0"/>
              <w:autoSpaceDN w:val="0"/>
              <w:adjustRightInd w:val="0"/>
              <w:jc w:val="center"/>
            </w:pPr>
            <w:r>
              <w:t>58</w:t>
            </w:r>
          </w:p>
        </w:tc>
      </w:tr>
    </w:tbl>
    <w:p w:rsidR="005126AF" w:rsidRDefault="005126AF" w:rsidP="005126AF">
      <w:pPr>
        <w:rPr>
          <w:b/>
          <w:sz w:val="30"/>
          <w:szCs w:val="30"/>
        </w:rPr>
      </w:pPr>
      <w:r>
        <w:rPr>
          <w:b/>
          <w:sz w:val="30"/>
          <w:szCs w:val="30"/>
        </w:rPr>
        <w:t>4. Аб выплаце пенсii з прычыны страты карміцеля асобам, якія навучаюцца ў навучальных установах і якія не дасягнулі 23-гадовага ўзросту</w:t>
      </w:r>
    </w:p>
    <w:p w:rsidR="005126AF" w:rsidRDefault="005126AF" w:rsidP="005126AF">
      <w:pPr>
        <w:ind w:firstLine="708"/>
        <w:jc w:val="both"/>
        <w:rPr>
          <w:sz w:val="30"/>
          <w:szCs w:val="30"/>
        </w:rPr>
      </w:pPr>
      <w:r>
        <w:rPr>
          <w:sz w:val="30"/>
          <w:szCs w:val="30"/>
        </w:rPr>
        <w:t>У сувязі з пытаннямі тлумачыцца, што ў адпаведнасці з пунктам «а» часткi трэцяй артыкула 30 Закона Рэспублікі Беларусь ад 1992/12/17 года №2050-XII «Аб пенсiйным забеспячэннi ваеннаслужачых, асоб начальніцкага і радавога складу органаў унутраных спраў, Следчага камітэта Рэспублікі Беларусь , органаў і падраздзяленняў па надзвычайных сiтуацыях i органаў фiнансавых расследаванняў »права на пенсію з выпадку страты карміцеля маюць асобы, якія атрымліваюць у Рэспубліцы Беларусь, за межамі Рэспублікі Беларусь у адпаведнасці з міжнародным і дамовамі Рэспублікі Беларусь вышэйшую адукацыю ў дзённай форме.</w:t>
      </w:r>
    </w:p>
    <w:p w:rsidR="005126AF" w:rsidRDefault="005126AF" w:rsidP="005126AF">
      <w:pPr>
        <w:ind w:firstLine="708"/>
        <w:jc w:val="both"/>
        <w:rPr>
          <w:sz w:val="30"/>
          <w:szCs w:val="30"/>
        </w:rPr>
      </w:pPr>
      <w:r>
        <w:rPr>
          <w:sz w:val="30"/>
          <w:szCs w:val="30"/>
        </w:rPr>
        <w:t>Згодна з пунктамі 3 - 5 артыкула 202 Кодэкса Рэспублікі Беларусь аб адукацыі, прынятае 13 студзеня 2011, вышэйшую адукацыю падпадзяляецца на дзве прыступкі, адукацыя падзяляецца на дзве прыступкі, другі з якіх з'яўляецца магістратура.</w:t>
      </w:r>
    </w:p>
    <w:p w:rsidR="005126AF" w:rsidRDefault="005126AF" w:rsidP="005126AF">
      <w:pPr>
        <w:ind w:firstLine="708"/>
        <w:jc w:val="both"/>
        <w:rPr>
          <w:sz w:val="30"/>
          <w:szCs w:val="30"/>
        </w:rPr>
      </w:pPr>
      <w:r>
        <w:rPr>
          <w:sz w:val="30"/>
          <w:szCs w:val="30"/>
        </w:rPr>
        <w:t>У сувязі з гэтым, асобы, якія навучаюцца ў тым ліку і ў магістратуры ў дзённай форме атрымання адукацыі і не дасягнулі ўзросту 23 гадоў, маюць права на атрыманне пенсii з прычыны страты карміцеля.</w:t>
      </w:r>
    </w:p>
    <w:p w:rsidR="005126AF" w:rsidRDefault="005126AF" w:rsidP="005126AF">
      <w:pPr>
        <w:jc w:val="both"/>
        <w:rPr>
          <w:sz w:val="30"/>
          <w:szCs w:val="30"/>
        </w:rPr>
      </w:pPr>
      <w:r>
        <w:rPr>
          <w:sz w:val="30"/>
          <w:szCs w:val="30"/>
        </w:rPr>
        <w:t>Таксама варта адзначыць, што асобам, якія атрымліваюць пенсію з нагоды страты карміцеля i вучацца ў навучальных установах, 2 разы на год не раней за 1 сакавіка і 1 верасня бягучага года адпаведна, неабходна прадстаўляць у філіял №514 ААТ «АСБ Беларусбанк» (220088, г. Мінск, ул.Ивановская, 39) даведку аб навучанні з указаннем у ёй наступнай інфармацыі:</w:t>
      </w:r>
    </w:p>
    <w:p w:rsidR="005126AF" w:rsidRDefault="005126AF" w:rsidP="005126AF">
      <w:pPr>
        <w:rPr>
          <w:sz w:val="30"/>
          <w:szCs w:val="30"/>
        </w:rPr>
      </w:pPr>
      <w:r>
        <w:rPr>
          <w:sz w:val="30"/>
          <w:szCs w:val="30"/>
        </w:rPr>
        <w:t>- форма навучання;</w:t>
      </w:r>
    </w:p>
    <w:p w:rsidR="005126AF" w:rsidRDefault="005126AF" w:rsidP="005126AF">
      <w:pPr>
        <w:rPr>
          <w:sz w:val="30"/>
          <w:szCs w:val="30"/>
        </w:rPr>
      </w:pPr>
      <w:r>
        <w:rPr>
          <w:sz w:val="30"/>
          <w:szCs w:val="30"/>
        </w:rPr>
        <w:t>- курс навучання;</w:t>
      </w:r>
    </w:p>
    <w:p w:rsidR="005126AF" w:rsidRDefault="005126AF" w:rsidP="005126AF">
      <w:pPr>
        <w:rPr>
          <w:sz w:val="30"/>
          <w:szCs w:val="30"/>
        </w:rPr>
      </w:pPr>
      <w:r>
        <w:rPr>
          <w:sz w:val="30"/>
          <w:szCs w:val="30"/>
        </w:rPr>
        <w:t>- пра знаходжанне навучэнца на дзяржаўным забеспячэнні;</w:t>
      </w:r>
    </w:p>
    <w:p w:rsidR="005126AF" w:rsidRDefault="005126AF" w:rsidP="005126AF">
      <w:pPr>
        <w:rPr>
          <w:sz w:val="30"/>
          <w:szCs w:val="30"/>
        </w:rPr>
      </w:pPr>
      <w:r>
        <w:rPr>
          <w:sz w:val="30"/>
          <w:szCs w:val="30"/>
        </w:rPr>
        <w:t>- аб прадастаўленні акадэмічнага адпачынку;</w:t>
      </w:r>
    </w:p>
    <w:p w:rsidR="005126AF" w:rsidRDefault="005126AF" w:rsidP="005126AF">
      <w:pPr>
        <w:rPr>
          <w:sz w:val="30"/>
          <w:szCs w:val="30"/>
        </w:rPr>
      </w:pPr>
      <w:r>
        <w:rPr>
          <w:sz w:val="30"/>
          <w:szCs w:val="30"/>
        </w:rPr>
        <w:t>- пра тэрмін заканчэння навучання.</w:t>
      </w:r>
    </w:p>
    <w:p w:rsidR="005126AF" w:rsidRDefault="005126AF" w:rsidP="005126AF">
      <w:pPr>
        <w:ind w:firstLine="708"/>
        <w:rPr>
          <w:sz w:val="30"/>
          <w:szCs w:val="30"/>
        </w:rPr>
      </w:pPr>
      <w:r>
        <w:rPr>
          <w:sz w:val="30"/>
          <w:szCs w:val="30"/>
        </w:rPr>
        <w:t>Грамадзянам, несвоечасова якія прадставілі даведкі, пенсія будзе часова прыпыненая да прадстаўлення адпаведных дакументаў.</w:t>
      </w:r>
    </w:p>
    <w:p w:rsidR="005126AF" w:rsidRDefault="005126AF" w:rsidP="005126AF">
      <w:pPr>
        <w:ind w:firstLine="708"/>
        <w:rPr>
          <w:sz w:val="30"/>
          <w:szCs w:val="30"/>
        </w:rPr>
      </w:pPr>
    </w:p>
    <w:p w:rsidR="005126AF" w:rsidRDefault="005126AF" w:rsidP="005126AF">
      <w:pPr>
        <w:ind w:firstLine="708"/>
        <w:rPr>
          <w:sz w:val="30"/>
          <w:szCs w:val="30"/>
        </w:rPr>
      </w:pPr>
    </w:p>
    <w:p w:rsidR="005126AF" w:rsidRDefault="005126AF" w:rsidP="005126AF">
      <w:pPr>
        <w:jc w:val="both"/>
        <w:rPr>
          <w:b/>
          <w:sz w:val="30"/>
          <w:szCs w:val="30"/>
        </w:rPr>
      </w:pPr>
      <w:r>
        <w:rPr>
          <w:b/>
          <w:sz w:val="30"/>
          <w:szCs w:val="30"/>
        </w:rPr>
        <w:t>5. Тлумачэнне для пенсіянераў Міністэрства абароны Рэспублікі Беларусь, якія прынялі рашэнне на змену пастаяннага месца жыхарства ў Расійскую Федэрацыю.</w:t>
      </w:r>
    </w:p>
    <w:p w:rsidR="005126AF" w:rsidRDefault="005126AF" w:rsidP="005126AF">
      <w:pPr>
        <w:ind w:firstLine="708"/>
        <w:jc w:val="both"/>
        <w:rPr>
          <w:sz w:val="30"/>
          <w:szCs w:val="30"/>
        </w:rPr>
      </w:pPr>
      <w:r>
        <w:rPr>
          <w:sz w:val="30"/>
          <w:szCs w:val="30"/>
        </w:rPr>
        <w:t>Пагадненнем аб парадку пенсійнага забеспячэння ваеннаслужачых і членаў іх сем'яў дзяржаў-удзельніц Садружнасці Незалежных Дзяржаў (Ташкент, 1992г.) Устаноўлена, што пенсійнае забеспячэнне вайскоўцаў і членаў іх сем'яў ажыццяўляецца на ўмовах, па нормах i ў парадку, якія ўстаноўлены або будуць устаноўлены заканадаўствам дзяржаў- удзельнікаў, на тэрыторыі якіх пражываюць названыя пенсіянеры і іх сем'і. Выдаткі па пенсійным забеспячэнні ваеннаслужачых і іх сем'яў ажыццяўляюцца дзяржавамі-удзельнікамі, на тэрыторыі якіх пражываюць пенсіянеры за кошт іх бюджэтаў.</w:t>
      </w:r>
    </w:p>
    <w:p w:rsidR="005126AF" w:rsidRDefault="005126AF" w:rsidP="005126AF">
      <w:pPr>
        <w:ind w:firstLine="708"/>
        <w:jc w:val="both"/>
        <w:rPr>
          <w:sz w:val="30"/>
          <w:szCs w:val="30"/>
        </w:rPr>
      </w:pPr>
      <w:r>
        <w:rPr>
          <w:sz w:val="30"/>
          <w:szCs w:val="30"/>
        </w:rPr>
        <w:t>Згодна з артыкулам 56 Закона Расійскай Федэрацыі ад 1993/02/12 года №4468-1 «Аб пенсійным забеспячэнні асоб, якія праходзілі ваенную службу» выплата пенсій, прадугледжаных гэтым Законам, вырабляецца па месцы жыхарства або месцы знаходжання пенсіянераў у межах тэрыторыі Расійскай Федэрацыі.</w:t>
      </w:r>
    </w:p>
    <w:p w:rsidR="005126AF" w:rsidRDefault="005126AF" w:rsidP="005126AF">
      <w:pPr>
        <w:ind w:firstLine="708"/>
        <w:jc w:val="both"/>
        <w:rPr>
          <w:sz w:val="30"/>
          <w:szCs w:val="30"/>
        </w:rPr>
      </w:pPr>
      <w:r>
        <w:rPr>
          <w:sz w:val="30"/>
          <w:szCs w:val="30"/>
        </w:rPr>
        <w:t>Зыходзячы з пералічаных норм заканадаўчых актаў, абавязковай умовай для атрымання права на пенсійнае забеспячэнне МО РФ з'яўляецца пражыванне на тэрыторыі Расійскай Федэрацыі.</w:t>
      </w:r>
    </w:p>
    <w:p w:rsidR="005126AF" w:rsidRDefault="005126AF" w:rsidP="005126AF">
      <w:pPr>
        <w:ind w:firstLine="708"/>
        <w:jc w:val="both"/>
        <w:rPr>
          <w:sz w:val="30"/>
          <w:szCs w:val="30"/>
        </w:rPr>
      </w:pPr>
      <w:r>
        <w:rPr>
          <w:sz w:val="30"/>
          <w:szCs w:val="30"/>
        </w:rPr>
        <w:t>У адпаведнасці з арт. 2 Федэральнага закона ад 2002/07/25 года №115-ФЗ «Аб прававым становішчы замежных грамадзян у Расійскай Федэрацыі» пастаянна пражываюць у Расійскай Федэрацыі замежным грамадзянінам з'яўляецца асоба, якая атрымала від на жыхарства.</w:t>
      </w:r>
    </w:p>
    <w:p w:rsidR="005126AF" w:rsidRDefault="005126AF" w:rsidP="005126AF">
      <w:pPr>
        <w:ind w:firstLine="708"/>
        <w:jc w:val="both"/>
        <w:rPr>
          <w:sz w:val="30"/>
          <w:szCs w:val="30"/>
        </w:rPr>
      </w:pPr>
      <w:r>
        <w:rPr>
          <w:sz w:val="30"/>
          <w:szCs w:val="30"/>
        </w:rPr>
        <w:t>Від на жыхарства - дакумент, выдадзены замежнаму грамадзяніну ці асобе без грамадзянства ў пацверджанне іх права на пастаяннае пражыванне ў Расійскай Федэрацыі. Від на жыхарства анулюецца, калі замежны грамадзянін выехаў з Расійскай Федэрацыі ў іншую дзяржаву для пастаяннага пражывання або знаходзіцца па-за межамі Расійскай Федэрацыі больш за 6 месяцаў.</w:t>
      </w:r>
    </w:p>
    <w:p w:rsidR="005126AF" w:rsidRDefault="005126AF" w:rsidP="005126AF">
      <w:pPr>
        <w:ind w:firstLine="708"/>
        <w:jc w:val="both"/>
        <w:rPr>
          <w:sz w:val="30"/>
          <w:szCs w:val="30"/>
        </w:rPr>
      </w:pPr>
      <w:r>
        <w:rPr>
          <w:sz w:val="30"/>
          <w:szCs w:val="30"/>
        </w:rPr>
        <w:t>Паколькі для атрымання віду на жыхарства замежнаму грамадзяніну патрабуецца час для афармлення дакументаў, то на перыяд да атрымання дакумента, што дазваляе пастаяннае пражыванне на тэрыторыі Расійскай Федэрацыі, пенсія можа быць прызначаная на падставе іншых дакументаў, якія пацвярджаюць законнае знаходжанне на тэрыторыі Расійскай Федэрацыі. Пры гэтым дакументамі, якія пацвярджаюць ад'езд з іншай дзяржавы з'яўляюцца замежны пашпарт з візай аб выездзе на пастаяннае месца жыхарства ў Расію, а таксама адна з форм міграцыйнага ўліку - адрасны лісток убыцця і зняцце з рэгістрацыйнага ўліку па ранейшым месцы жыхарства.</w:t>
      </w:r>
    </w:p>
    <w:p w:rsidR="005126AF" w:rsidRDefault="005126AF" w:rsidP="005126AF">
      <w:pPr>
        <w:ind w:firstLine="708"/>
        <w:jc w:val="both"/>
        <w:rPr>
          <w:sz w:val="30"/>
          <w:szCs w:val="30"/>
        </w:rPr>
      </w:pPr>
      <w:r>
        <w:rPr>
          <w:sz w:val="30"/>
          <w:szCs w:val="30"/>
        </w:rPr>
        <w:t>Такім чынам, неабходным умовай для прызначэння пенсіі па лініі Міністэрства абароны Расійскай Федэрацыі для ўказаных асоб з'яўляюцца:</w:t>
      </w:r>
    </w:p>
    <w:p w:rsidR="005126AF" w:rsidRDefault="005126AF" w:rsidP="005126AF">
      <w:pPr>
        <w:jc w:val="both"/>
        <w:rPr>
          <w:sz w:val="30"/>
          <w:szCs w:val="30"/>
        </w:rPr>
      </w:pPr>
      <w:r>
        <w:rPr>
          <w:sz w:val="30"/>
          <w:szCs w:val="30"/>
        </w:rPr>
        <w:t>1. Здыманне з рэгістрацыйнага ўліку з ранейшага месца жыхарства (атрыманне пашпарта серыі PP ў органах па грамадзянстве і міграцыі па месцы жыхарства).</w:t>
      </w:r>
    </w:p>
    <w:p w:rsidR="005126AF" w:rsidRDefault="005126AF" w:rsidP="005126AF">
      <w:pPr>
        <w:jc w:val="both"/>
        <w:rPr>
          <w:sz w:val="30"/>
          <w:szCs w:val="30"/>
        </w:rPr>
      </w:pPr>
      <w:r>
        <w:rPr>
          <w:sz w:val="30"/>
          <w:szCs w:val="30"/>
        </w:rPr>
        <w:t>2. Рэгістрацыя па месцы жыхарства ў Расійскай Федэрацыі (атрыманне віду на жыхарства, альбо грамадзянства Расійскай Федэрацыі).</w:t>
      </w:r>
    </w:p>
    <w:p w:rsidR="005126AF" w:rsidRDefault="005126AF" w:rsidP="005126AF">
      <w:pPr>
        <w:jc w:val="both"/>
        <w:rPr>
          <w:sz w:val="30"/>
          <w:szCs w:val="30"/>
        </w:rPr>
      </w:pPr>
      <w:r>
        <w:rPr>
          <w:sz w:val="30"/>
          <w:szCs w:val="30"/>
        </w:rPr>
        <w:t>3. Адрасны лісток убыцця з ранейшага месца жыхарства.</w:t>
      </w:r>
    </w:p>
    <w:p w:rsidR="005126AF" w:rsidRDefault="005126AF" w:rsidP="005126AF">
      <w:pPr>
        <w:jc w:val="both"/>
        <w:rPr>
          <w:sz w:val="30"/>
          <w:szCs w:val="30"/>
        </w:rPr>
      </w:pPr>
      <w:r>
        <w:rPr>
          <w:sz w:val="30"/>
          <w:szCs w:val="30"/>
        </w:rPr>
        <w:t>Кантактныя нумары тэлефонаў службовай асобы, адказнага за пенсійнае забеспячэнне ў ваенным камісарыяце Шчучынскага раёна:</w:t>
      </w:r>
    </w:p>
    <w:p w:rsidR="005126AF" w:rsidRDefault="005126AF" w:rsidP="005126AF">
      <w:pPr>
        <w:jc w:val="both"/>
        <w:rPr>
          <w:sz w:val="30"/>
          <w:szCs w:val="30"/>
        </w:rPr>
      </w:pPr>
      <w:r>
        <w:rPr>
          <w:sz w:val="30"/>
          <w:szCs w:val="30"/>
        </w:rPr>
        <w:t>Вядучы спецыяліст па сацыяльнай абароне і пенсійным забеспячэнні Сугай Наталля Іванаўна, кабінет № 11, нумар кантактнага тэлефона - 8 (01514) 70175.</w:t>
      </w:r>
    </w:p>
    <w:p w:rsidR="005126AF" w:rsidRDefault="005126AF" w:rsidP="005126AF">
      <w:pPr>
        <w:rPr>
          <w:sz w:val="30"/>
          <w:szCs w:val="30"/>
        </w:rPr>
      </w:pPr>
    </w:p>
    <w:p w:rsidR="002448A1" w:rsidRDefault="002448A1"/>
    <w:sectPr w:rsidR="002448A1" w:rsidSect="005126AF">
      <w:pgSz w:w="16838" w:h="11906" w:orient="landscape"/>
      <w:pgMar w:top="1701" w:right="1134" w:bottom="850"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AF"/>
    <w:rsid w:val="002448A1"/>
    <w:rsid w:val="0051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A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A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IT-ADMIN</cp:lastModifiedBy>
  <cp:revision>1</cp:revision>
  <dcterms:created xsi:type="dcterms:W3CDTF">2019-12-17T13:32:00Z</dcterms:created>
  <dcterms:modified xsi:type="dcterms:W3CDTF">2019-12-17T13:33:00Z</dcterms:modified>
</cp:coreProperties>
</file>